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CE5CD"/>
  <w:body>
    <w:p w:rsidR="00000000" w:rsidDel="00000000" w:rsidP="00000000" w:rsidRDefault="00000000" w:rsidRPr="00000000" w14:paraId="00000001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Criteria Assessment Table</w:t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Each of these criteria will be scored out of 5 (unless otherwise indicated). Those with a ‘x’ in the application column will need to be evidenced within your application to be counted towards your score</w:t>
      </w:r>
      <w:r w:rsidDel="00000000" w:rsidR="00000000" w:rsidRPr="00000000">
        <w:rPr>
          <w:sz w:val="28"/>
          <w:szCs w:val="28"/>
          <w:rtl w:val="0"/>
        </w:rPr>
        <w:t xml:space="preserve">. Equally, those with an ‘x’ in the interview column will need to be evidenced if you are selected for an interview. </w:t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910"/>
        <w:gridCol w:w="1905"/>
        <w:gridCol w:w="1545"/>
        <w:tblGridChange w:id="0">
          <w:tblGrid>
            <w:gridCol w:w="5910"/>
            <w:gridCol w:w="1905"/>
            <w:gridCol w:w="15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Selection criteria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Application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Interview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7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Fonts w:ascii="Tahoma" w:cs="Tahoma" w:eastAsia="Tahoma" w:hAnsi="Tahoma"/>
                <w:sz w:val="26"/>
                <w:szCs w:val="26"/>
                <w:rtl w:val="0"/>
              </w:rPr>
              <w:t xml:space="preserve">A commitment to the mission of Size of Wales and its guiding principles.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Fonts w:ascii="Tahoma" w:cs="Tahoma" w:eastAsia="Tahoma" w:hAnsi="Tahoma"/>
                <w:sz w:val="26"/>
                <w:szCs w:val="26"/>
                <w:rtl w:val="0"/>
              </w:rPr>
              <w:t xml:space="preserve">An interest in at least one of our 3 goals: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rFonts w:ascii="Tahoma" w:cs="Tahoma" w:eastAsia="Tahoma" w:hAnsi="Tahoma"/>
                <w:sz w:val="26"/>
                <w:szCs w:val="26"/>
                <w:rtl w:val="0"/>
              </w:rPr>
              <w:t xml:space="preserve">Able to express your viewpoints to other colleagues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Tahoma" w:cs="Tahoma" w:eastAsia="Tahoma" w:hAnsi="Tahoma"/>
                <w:sz w:val="26"/>
                <w:szCs w:val="26"/>
              </w:rPr>
            </w:pPr>
            <w:r w:rsidDel="00000000" w:rsidR="00000000" w:rsidRPr="00000000">
              <w:rPr>
                <w:rFonts w:ascii="Tahoma" w:cs="Tahoma" w:eastAsia="Tahoma" w:hAnsi="Tahoma"/>
                <w:sz w:val="26"/>
                <w:szCs w:val="26"/>
                <w:rtl w:val="0"/>
              </w:rPr>
              <w:t xml:space="preserve">Able to think creatively and strategically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Fonts w:ascii="Tahoma" w:cs="Tahoma" w:eastAsia="Tahoma" w:hAnsi="Tahoma"/>
                <w:sz w:val="26"/>
                <w:szCs w:val="26"/>
                <w:rtl w:val="0"/>
              </w:rPr>
              <w:t xml:space="preserve">Able to put your viewpoints across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Fonts w:ascii="Tahoma" w:cs="Tahoma" w:eastAsia="Tahoma" w:hAnsi="Tahoma"/>
                <w:sz w:val="26"/>
                <w:szCs w:val="26"/>
                <w:rtl w:val="0"/>
              </w:rPr>
              <w:t xml:space="preserve">Knowledge or lived experience in fields relevant to the charity sector, such as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finance, legal, corporate and other fundraising, EDI, overseas work, data protection/GDPR and communications, including social media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76" w:lineRule="auto"/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Understanding of EDI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Understanding of safeguarding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76" w:lineRule="auto"/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Ability and willingness to commit the time to conduct the role well, including travel and attending occasional events out of office hours   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x</w:t>
            </w:r>
          </w:p>
        </w:tc>
      </w:tr>
    </w:tbl>
    <w:p w:rsidR="00000000" w:rsidDel="00000000" w:rsidP="00000000" w:rsidRDefault="00000000" w:rsidRPr="00000000" w14:paraId="0000002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